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6691B" w14:textId="77777777" w:rsidR="009B4E92" w:rsidRPr="009B4E92" w:rsidRDefault="00577BA0" w:rsidP="009B4E92">
      <w:pPr>
        <w:widowControl w:val="0"/>
        <w:spacing w:line="240" w:lineRule="auto"/>
        <w:rPr>
          <w:color w:val="000000"/>
        </w:rPr>
      </w:pPr>
      <w:r>
        <w:rPr>
          <w:b/>
          <w:sz w:val="22"/>
          <w:szCs w:val="22"/>
          <w:u w:val="single"/>
        </w:rPr>
        <w:t>Objeto</w:t>
      </w:r>
      <w:r>
        <w:rPr>
          <w:sz w:val="22"/>
          <w:szCs w:val="22"/>
        </w:rPr>
        <w:t xml:space="preserve">: </w:t>
      </w:r>
    </w:p>
    <w:p w14:paraId="16B42523" w14:textId="450E0F2A" w:rsidR="00BF5F78" w:rsidRDefault="001F603F">
      <w:pPr>
        <w:widowControl w:val="0"/>
        <w:spacing w:line="240" w:lineRule="auto"/>
        <w:rPr>
          <w:color w:val="000000"/>
        </w:rPr>
      </w:pPr>
      <w:r w:rsidRPr="001F603F">
        <w:rPr>
          <w:color w:val="000000"/>
        </w:rPr>
        <w:t>PRESTAR SERVICIOS DE CARÁCTER TEMPORAL COMO INSTRUCTOR PARA IMPARTIR FORMACIÓN EN EL ÁREA DE GASTRONOMÍA Y ÁREAS AFINES EN FORMACIÓN TITULADA Y COMPLEMENTARIA PARA ATENDER POBLACIÓN DESPLAZADA PARA EL CTGI.</w:t>
      </w:r>
    </w:p>
    <w:p w14:paraId="476897A6" w14:textId="128E8988" w:rsidR="001F603F" w:rsidRDefault="001F603F">
      <w:pPr>
        <w:widowControl w:val="0"/>
        <w:spacing w:line="240" w:lineRule="auto"/>
        <w:rPr>
          <w:color w:val="000000"/>
        </w:rPr>
      </w:pPr>
    </w:p>
    <w:p w14:paraId="013EF22A" w14:textId="77777777" w:rsidR="001F603F" w:rsidRDefault="001F603F">
      <w:pPr>
        <w:widowControl w:val="0"/>
        <w:spacing w:line="240" w:lineRule="auto"/>
        <w:rPr>
          <w:b/>
        </w:rPr>
      </w:pPr>
    </w:p>
    <w:p w14:paraId="42387A60" w14:textId="77777777" w:rsidR="00AC466F" w:rsidRDefault="00577BA0">
      <w:pPr>
        <w:widowControl w:val="0"/>
        <w:spacing w:line="240" w:lineRule="auto"/>
      </w:pPr>
      <w:r>
        <w:rPr>
          <w:b/>
        </w:rPr>
        <w:t>CONSIDERACIONES</w:t>
      </w:r>
      <w:r>
        <w:t xml:space="preserve">: </w:t>
      </w:r>
      <w:r>
        <w:rPr>
          <w:b/>
        </w:rPr>
        <w:t>1.</w:t>
      </w:r>
      <w: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Pr>
          <w:b/>
        </w:rPr>
        <w:t>°</w:t>
      </w:r>
      <w:r>
        <w:t xml:space="preserve"> de la Ley 1150 de 2007, dispone que los contratos para la prestación de servicios profesionales y de apoyo a la gestión, se tramitan por la modalidad de contratación directa, en tanto que el </w:t>
      </w:r>
      <w:r>
        <w:rPr>
          <w:highlight w:val="white"/>
        </w:rPr>
        <w:t xml:space="preserve">artículo </w:t>
      </w:r>
      <w:r>
        <w:rPr>
          <w:color w:val="141414"/>
        </w:rPr>
        <w:t>2.2.1.2.1.4.9</w:t>
      </w:r>
      <w:r>
        <w:rPr>
          <w:highlight w:val="white"/>
        </w:rPr>
        <w:t xml:space="preserve"> del Decreto 1082 de 2015,</w:t>
      </w:r>
      <w:r>
        <w:t xml:space="preserve"> establece que </w:t>
      </w:r>
      <w:r>
        <w:rPr>
          <w:i/>
        </w:rPr>
        <w:t>“</w:t>
      </w:r>
      <w:r>
        <w:rPr>
          <w:i/>
          <w:color w:val="000000"/>
          <w:highlight w:val="white"/>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Pr>
          <w:i/>
        </w:rPr>
        <w:t xml:space="preserve">. // </w:t>
      </w:r>
      <w:r>
        <w:rPr>
          <w:i/>
          <w:color w:val="00000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Pr>
          <w:i/>
        </w:rPr>
        <w:t>”</w:t>
      </w:r>
      <w:r>
        <w:t xml:space="preserve">. </w:t>
      </w:r>
      <w:r>
        <w:rPr>
          <w:b/>
        </w:rPr>
        <w:t>2.</w:t>
      </w:r>
      <w:r>
        <w:t xml:space="preserve"> Que </w:t>
      </w:r>
      <w:r>
        <w:rPr>
          <w:sz w:val="22"/>
          <w:szCs w:val="22"/>
        </w:rPr>
        <w:t xml:space="preserve">la </w:t>
      </w:r>
      <w:r>
        <w:t>Centro Textil y de Gestión Industrial</w:t>
      </w:r>
      <w:r>
        <w:rPr>
          <w:sz w:val="22"/>
          <w:szCs w:val="22"/>
        </w:rPr>
        <w:t xml:space="preserve"> </w:t>
      </w:r>
      <w:r>
        <w:t xml:space="preserve">del SENA adelantó los trámites normativos legales y reglamentarios, y elaboró los documentos y estudios previos exigidos. </w:t>
      </w:r>
      <w:r>
        <w:rPr>
          <w:b/>
        </w:rPr>
        <w:t>3.</w:t>
      </w:r>
      <w:r>
        <w:t xml:space="preserve"> Que se encuentra certificada la inexistencia de personal en la planta. </w:t>
      </w:r>
      <w:r>
        <w:rPr>
          <w:b/>
        </w:rPr>
        <w:t>4.</w:t>
      </w:r>
      <w:r>
        <w:rPr>
          <w:i/>
        </w:rPr>
        <w:t xml:space="preserve"> </w:t>
      </w:r>
      <w:r>
        <w:t xml:space="preserve">Que se encuentra autorizada la presente contratación por tratarse de objetos iguales (este numeral aplica únicamente cuando se trate de una contratación con objetos iguales) </w:t>
      </w:r>
      <w:r>
        <w:rPr>
          <w:b/>
        </w:rPr>
        <w:t xml:space="preserve">5. </w:t>
      </w:r>
      <w:r>
        <w:t>Que</w:t>
      </w:r>
      <w:r>
        <w:rPr>
          <w:b/>
        </w:rPr>
        <w:t xml:space="preserve"> </w:t>
      </w:r>
      <w:r>
        <w:t xml:space="preserve">el Ordenador del Pago suscribió el estudio previo para determinar y justificar la necesidad y oportunidad del contrato (Electrónico o físico), quedando sustentada y evidenciada la necesidad de contratar los servicios personales señalados en el objeto dentro del estudio previo. </w:t>
      </w:r>
      <w:r>
        <w:rPr>
          <w:b/>
        </w:rPr>
        <w:t xml:space="preserve">6. </w:t>
      </w:r>
      <w:r>
        <w:t xml:space="preserve">Que Centro Textil y de Gestión Industrial, revisó y validó la documentación presentada por el contratista en el SIGEP 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así mismo verificó el cumplimiento de los topes, alternativas o exoneraciones establecidas en la tabla de honorarios vigente. </w:t>
      </w:r>
      <w:r>
        <w:rPr>
          <w:b/>
        </w:rPr>
        <w:t>7</w:t>
      </w:r>
      <w:r>
        <w:t xml:space="preserve">. Que el presente objeto contractual se encuentra publicado en el Plan Anual de Adquisiciones. </w:t>
      </w:r>
      <w:r>
        <w:rPr>
          <w:b/>
        </w:rPr>
        <w:t xml:space="preserve">8. </w:t>
      </w:r>
      <w:r>
        <w:t xml:space="preserve">Que una vez verificado los antecedentes disciplinarios, fiscales y policivos correspondientes, así como lo manifestado por el contratista bajo la gravedad de juramento en su oferta de servicios mediante la suscripción y presentación a la Entidad del formato GTH-F-109, no se evidencia reporte de inhabilidad o incompatibilidad para la suscripción del contrato. </w:t>
      </w:r>
      <w:r>
        <w:rPr>
          <w:b/>
        </w:rPr>
        <w:t xml:space="preserve">9. </w:t>
      </w:r>
      <w:r>
        <w:t xml:space="preserve">Que de conformidad con lo anterior resulta procedente la suscripción del contrato (electrónico o físico) que estará regido por las siguientes cláusulas: </w:t>
      </w:r>
      <w:r>
        <w:rPr>
          <w:b/>
        </w:rPr>
        <w:t>CLAUSULA PRIMERA:</w:t>
      </w:r>
      <w:r>
        <w:t xml:space="preserve"> </w:t>
      </w:r>
      <w:r>
        <w:rPr>
          <w:b/>
        </w:rPr>
        <w:t>OBLIGACIONES GENERALES DEL CONTRATISTA</w:t>
      </w:r>
      <w:r>
        <w:t xml:space="preserve">: </w:t>
      </w:r>
      <w:r>
        <w:rPr>
          <w:b/>
        </w:rPr>
        <w:t>1)</w:t>
      </w:r>
      <w:r>
        <w:t xml:space="preserve"> Acatar la Constitución Política, la Ley, los principios de la contratación estatal y las demás normas concordantes y complementarias; </w:t>
      </w:r>
      <w:r>
        <w:rPr>
          <w:b/>
        </w:rPr>
        <w:t>2)</w:t>
      </w:r>
      <w:r>
        <w:t xml:space="preserve"> Responder por el adecuado y oportuno cumplimiento de las obligaciones contraídas del contrato (Electrónico o físico) ; </w:t>
      </w:r>
      <w:r>
        <w:rPr>
          <w:b/>
        </w:rPr>
        <w:t>3)</w:t>
      </w:r>
      <w:r>
        <w:t xml:space="preserve"> Participar en las reuniones que para la ejecución del contrato sean convocadas; </w:t>
      </w:r>
      <w:r>
        <w:rPr>
          <w:b/>
        </w:rPr>
        <w:t>4)</w:t>
      </w:r>
      <w:r>
        <w:t xml:space="preserve">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 </w:t>
      </w:r>
      <w:r>
        <w:rPr>
          <w:b/>
        </w:rPr>
        <w:t xml:space="preserve">5) </w:t>
      </w:r>
      <w:r>
        <w:t xml:space="preserve">Entregar a la finalización del plazo de ejecución o del vínculo contractual o cuando el supervisor del contrato lo solicite, los bienes devolutivos que le hayan sido asignados para el cumplimiento del objeto del contrato; </w:t>
      </w:r>
      <w:r>
        <w:rPr>
          <w:b/>
        </w:rPr>
        <w:t>6)</w:t>
      </w:r>
      <w:r>
        <w:t xml:space="preserve"> Utilizar en debida forma las claves asignadas para el ingreso a los </w:t>
      </w:r>
      <w:r>
        <w:lastRenderedPageBreak/>
        <w:t>sistemas de información y gestión del</w:t>
      </w:r>
      <w:r>
        <w:rPr>
          <w:b/>
        </w:rPr>
        <w:t xml:space="preserve"> </w:t>
      </w:r>
      <w:r>
        <w:t xml:space="preserve">SENA requeridos para la ejecución del contrato y al finalizar el mismo, informar para su desactivación, garantizando la seguridad y reserva de la información conocida por estos u otros medios durante la ejecución; </w:t>
      </w:r>
      <w:r>
        <w:rPr>
          <w:b/>
        </w:rPr>
        <w:t>7)</w:t>
      </w:r>
      <w:r>
        <w:t xml:space="preserve"> Colaborar en la elaboración de respuestas y suministro de información requerida por las autoridades y organismos de control del Estado Colombiano, en relación con la ejecución del contrato y de los asuntos relacionados con el mismo; </w:t>
      </w:r>
      <w:r>
        <w:rPr>
          <w:b/>
        </w:rPr>
        <w:t xml:space="preserve">8) </w:t>
      </w:r>
      <w:r>
        <w:t>Solicitar autorización escrita del SENA</w:t>
      </w:r>
      <w:r>
        <w:rPr>
          <w:b/>
        </w:rPr>
        <w:t xml:space="preserve"> </w:t>
      </w:r>
      <w:r>
        <w:t xml:space="preserve">para utilizar el nombre, emblema o sello oficial con fines publicitarios o ajenos a los establecidos en los lineamientos de la Entidad; </w:t>
      </w:r>
      <w:r>
        <w:rPr>
          <w:b/>
        </w:rPr>
        <w:t xml:space="preserve">9) </w:t>
      </w:r>
      <w:r>
        <w:t>Cumplir con las normas de bioseguridad y reglamentos e instrucciones del Sistema de Gestión de la Seguridad y Salud en el Trabajo del</w:t>
      </w:r>
      <w:r>
        <w:rPr>
          <w:b/>
        </w:rPr>
        <w:t xml:space="preserve"> </w:t>
      </w:r>
      <w:r>
        <w:t>SENA,</w:t>
      </w:r>
      <w:r>
        <w:rPr>
          <w:b/>
        </w:rPr>
        <w:t xml:space="preserve"> </w:t>
      </w:r>
      <w:r>
        <w:t xml:space="preserve">según la normatividad vigente; </w:t>
      </w:r>
      <w:r>
        <w:rPr>
          <w:b/>
        </w:rPr>
        <w:t xml:space="preserve">10) </w:t>
      </w:r>
      <w:r>
        <w:t xml:space="preserve">Entregar el examen médico </w:t>
      </w:r>
      <w:proofErr w:type="spellStart"/>
      <w:r>
        <w:t>pre-ocupacional</w:t>
      </w:r>
      <w:proofErr w:type="spellEnd"/>
      <w: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 </w:t>
      </w:r>
      <w:r>
        <w:rPr>
          <w:b/>
        </w:rPr>
        <w:t xml:space="preserve">11) </w:t>
      </w:r>
      <w:r>
        <w:t xml:space="preserve">Adjuntar el certificado de aprobación de los conocimientos básicos del Subsistema de Gestión de Seguridad y Salud en el Trabajo, para el primer pago de los honorarios; </w:t>
      </w:r>
      <w:r>
        <w:rPr>
          <w:b/>
        </w:rPr>
        <w:t xml:space="preserve">12) </w:t>
      </w:r>
      <w:r>
        <w:t xml:space="preserve">Presentar ante el supervisor del contrato anexo a la segunda cuenta de cobro en el archivo de gestión contractual - GC, el certificado de aprobación de los conocimientos básicos del curso “Integridad, trasparencia y lucha contra la corrupción” de conformidad con lo establecido en la Ley 2016 de 2020 Art 1° parágrafo 1°, bajo los lineamientos, herramientas tecnológicas y protocolos dispuestos por el Departamento Administrativo de la Función Pública. </w:t>
      </w:r>
      <w:r>
        <w:rPr>
          <w:b/>
        </w:rPr>
        <w:t xml:space="preserve">13) </w:t>
      </w:r>
      <w:r>
        <w:t xml:space="preserve">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r>
        <w:rPr>
          <w:b/>
        </w:rPr>
        <w:t xml:space="preserve">14) </w:t>
      </w:r>
      <w:r>
        <w:t xml:space="preserve">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w:t>
      </w:r>
      <w:r>
        <w:rPr>
          <w:b/>
        </w:rPr>
        <w:t xml:space="preserve">15) </w:t>
      </w:r>
      <w:r>
        <w:t xml:space="preserve">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r>
        <w:rPr>
          <w:b/>
        </w:rPr>
        <w:t xml:space="preserve">16) </w:t>
      </w:r>
      <w:r>
        <w:t xml:space="preserve">En caso de que proceda el registro y asignación de una firma digital, usarla dentro de los límites impuestos por el objeto y las obligaciones del contrato (Electrónico o físico) y en todo caso con la debida autorización de quien corresponda; </w:t>
      </w:r>
      <w:r>
        <w:rPr>
          <w:b/>
        </w:rPr>
        <w:t>17)</w:t>
      </w:r>
      <w:r>
        <w:t xml:space="preserve"> Desplazarse dentro y fuera del territorio nacional cuando sea requerido para el cumplimiento de las obligaciones contractuales y legalizar las ordenes de viaje de acuerdo con los términos y lineamientos del</w:t>
      </w:r>
      <w:r>
        <w:rPr>
          <w:b/>
        </w:rPr>
        <w:t xml:space="preserve"> </w:t>
      </w:r>
      <w:r>
        <w:t xml:space="preserve">SENA una vez culminado el desplazamiento; </w:t>
      </w:r>
      <w:r>
        <w:rPr>
          <w:b/>
        </w:rPr>
        <w:t>18)</w:t>
      </w:r>
      <w:r>
        <w:t xml:space="preserve">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w:t>
      </w:r>
      <w:r>
        <w:rPr>
          <w:b/>
        </w:rPr>
        <w:t>19)</w:t>
      </w:r>
      <w:r>
        <w:t xml:space="preserve">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(cuando corresponda); 20) El contratista deberá cumplir con los protocolos de bioseguridad para mitigar, controlar y realizar el adecuado manejo de la pandemia generada por el nuevo Coronavirus COVID 19 (SARS-CoV-2), de acuerdo con los lineamientos y medidas tomadas por el Gobierno Nacional, por las autoridades departamentales, municipales, distritales e institucionales. </w:t>
      </w:r>
      <w:r>
        <w:rPr>
          <w:b/>
        </w:rPr>
        <w:t>21)</w:t>
      </w:r>
      <w:r>
        <w:t xml:space="preserve"> El contratista deberá ejecutar su contrato conforme al Sistema Integrado de Gestión y Autocontrol – SIGA del SENA, el cual se encuentra documentado en la plataforma </w:t>
      </w:r>
      <w:proofErr w:type="spellStart"/>
      <w:r>
        <w:t>CompromISO</w:t>
      </w:r>
      <w:proofErr w:type="spellEnd"/>
      <w:r>
        <w:t xml:space="preserve">. </w:t>
      </w:r>
      <w:r>
        <w:rPr>
          <w:b/>
        </w:rPr>
        <w:t>22)</w:t>
      </w:r>
      <w:r>
        <w:t xml:space="preserve"> En cumplimiento con lo establecido en el Sistema Integrado </w:t>
      </w:r>
      <w:r>
        <w:lastRenderedPageBreak/>
        <w:t xml:space="preserve">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r>
        <w:rPr>
          <w:b/>
        </w:rPr>
        <w:t xml:space="preserve">23) </w:t>
      </w:r>
      <w:r>
        <w:t xml:space="preserve">Las demás que sean necesarias para el cabal cumplimiento del objeto contractual. </w:t>
      </w:r>
      <w:r>
        <w:rPr>
          <w:b/>
        </w:rPr>
        <w:t>PARÁGRAFO PRIMERO:</w:t>
      </w:r>
      <w:r>
        <w:t xml:space="preserve">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 vigente. </w:t>
      </w:r>
      <w:r>
        <w:rPr>
          <w:b/>
        </w:rPr>
        <w:t xml:space="preserve">PÁRAGRAFO SEGUNDO: </w:t>
      </w:r>
      <w:r>
        <w:t xml:space="preserve">El contratista se obliga a legalizar los gastos de desplazamiento causados en las órdenes de viaje, dentro de los 5 días siguientes a su finalización. </w:t>
      </w:r>
      <w:r>
        <w:rPr>
          <w:b/>
        </w:rPr>
        <w:t xml:space="preserve">CLÁUSULA SEGUNDA: - OBLIGACIONES DEL SENA: </w:t>
      </w:r>
      <w:r>
        <w:t xml:space="preserve">Además de las obligaciones consagradas en la Ley 80 de 1993 y 1150 de 2007, así como las que se deriven del Decreto 1082 de 2015 y las demás normas que regulen la materia, el SENA se obliga a: </w:t>
      </w:r>
      <w:r>
        <w:rPr>
          <w:b/>
        </w:rPr>
        <w:t>1.</w:t>
      </w:r>
      <w:r>
        <w:t xml:space="preserve"> Verificar previo a la suscripción del contrato (Electrónico o físico) los documentos requeridos para la contratación. </w:t>
      </w:r>
      <w:r>
        <w:rPr>
          <w:b/>
        </w:rPr>
        <w:t>2.</w:t>
      </w:r>
      <w:r>
        <w:t xml:space="preserve"> Pagar los honorarios en la forma estipulada en este contrato. </w:t>
      </w:r>
      <w:r>
        <w:rPr>
          <w:b/>
        </w:rPr>
        <w:t>3.</w:t>
      </w:r>
      <w:r>
        <w:t xml:space="preserve"> Prestar la mayor colaboración necesaria para la correcta ejecución del objeto contratado. </w:t>
      </w:r>
      <w:r>
        <w:rPr>
          <w:b/>
        </w:rPr>
        <w:t>4.</w:t>
      </w:r>
      <w:r>
        <w:t xml:space="preserve"> Poner a disposición la información y/o documentación que se requiera para la cabal ejecución del contrato. </w:t>
      </w:r>
      <w:r>
        <w:rPr>
          <w:b/>
        </w:rPr>
        <w:t>5.</w:t>
      </w:r>
      <w:r>
        <w:t xml:space="preserve"> Socializar los lineamientos del Subsistema de Gestión de Seguridad y Salud en el Trabajo. </w:t>
      </w:r>
      <w:r>
        <w:rPr>
          <w:b/>
        </w:rPr>
        <w:t>6.</w:t>
      </w:r>
      <w:r>
        <w:t xml:space="preserve"> Cumplir las obligaciones establecidas en el artículo 2.2.4.2.2.15 del Decreto 1072 de 2015.</w:t>
      </w:r>
      <w:r>
        <w:rPr>
          <w:b/>
        </w:rPr>
        <w:t xml:space="preserve"> CLÁUSULA TERCERA - GARANTÍA ÚNICA</w:t>
      </w:r>
      <w:r>
        <w:t xml:space="preserve">: El CONTRATISTA se obliga a constituir a favor del SENA una garantía en una de las modalidades señaladas por el Decreto 1082 de 2015 para amparar el: </w:t>
      </w:r>
      <w:r>
        <w:rPr>
          <w:b/>
        </w:rPr>
        <w:t>Cumplimiento de las obligaciones surgidas del contrato estatal:</w:t>
      </w:r>
      <w:r>
        <w:t xml:space="preserve"> por un valor equivalente al diez (10%) por ciento del valor total del mismo, con una vigencia igual al plazo de ejecución y cuatro (4) meses más contados a partir de la expedición. Esta garantía ampara entre otros, los riesgos previstos en el artículo </w:t>
      </w:r>
      <w:r>
        <w:rPr>
          <w:color w:val="000000"/>
        </w:rPr>
        <w:t>2.2.1.2.3.1.7</w:t>
      </w:r>
      <w:r>
        <w:t xml:space="preserve"> del Decreto 1082 de 2015. </w:t>
      </w:r>
      <w:r>
        <w:rPr>
          <w:b/>
        </w:rPr>
        <w:t>PARÁGRAFO.</w:t>
      </w:r>
      <w:r>
        <w:t xml:space="preserve"> Cuando se presente uno de los eventos de incumplimiento, el SENA hará efectiva la garantía en los términos y con el procedimiento señalado por las normas vigentes. </w:t>
      </w:r>
      <w:r>
        <w:rPr>
          <w:b/>
        </w:rPr>
        <w:t>CLÁUSULA CUARTA: -</w:t>
      </w:r>
      <w:r>
        <w:t xml:space="preserve"> </w:t>
      </w:r>
      <w:r>
        <w:rPr>
          <w:b/>
        </w:rPr>
        <w:t>SUPERVISIÓN:</w:t>
      </w:r>
      <w:r>
        <w:t xml:space="preserve"> Al supervisor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w:t>
      </w:r>
      <w:proofErr w:type="spellStart"/>
      <w:r>
        <w:t>CompromISO</w:t>
      </w:r>
      <w:proofErr w:type="spellEnd"/>
      <w:r>
        <w:t xml:space="preserve">. Corresponde a la supervisión entre otras las siguientes actividades: </w:t>
      </w:r>
      <w:r>
        <w:rPr>
          <w:b/>
        </w:rPr>
        <w:t xml:space="preserve">a) </w:t>
      </w:r>
      <w:r>
        <w:t xml:space="preserve">Velar por el cumplimiento de las obligaciones de las partes. </w:t>
      </w:r>
      <w:r>
        <w:rPr>
          <w:b/>
        </w:rPr>
        <w:t xml:space="preserve">b) </w:t>
      </w:r>
      <w:r>
        <w:t xml:space="preserve">Verificar el cumplimiento del contrato en cuanto a plazo, lugar, cantidad, calidad, planes, proyectos y acciones. </w:t>
      </w:r>
      <w:r>
        <w:rPr>
          <w:b/>
        </w:rPr>
        <w:t xml:space="preserve">c) </w:t>
      </w:r>
      <w:r>
        <w:t>Efectuar los requerimientos que sea del caso a EL CONTRATISTA</w:t>
      </w:r>
      <w:r>
        <w:rPr>
          <w:b/>
        </w:rPr>
        <w:t xml:space="preserve"> </w:t>
      </w:r>
      <w:r>
        <w:t>cuando las exigencias de cumplimiento así lo requieran.</w:t>
      </w:r>
      <w:r>
        <w:rPr>
          <w:rFonts w:ascii="MS Gothic" w:eastAsia="MS Gothic" w:hAnsi="MS Gothic" w:cs="MS Gothic"/>
        </w:rPr>
        <w:t> </w:t>
      </w:r>
      <w:r>
        <w:rPr>
          <w:b/>
        </w:rPr>
        <w:t xml:space="preserve">d) </w:t>
      </w:r>
      <w:r>
        <w:t>Informar al líder o líderes de la contratación sobre los cambios que se presenten durante la ejecución del contrato y velar porque se suscriban por las partes las correspondientes modificaciones, adiciones o prórrogas que se requieran.</w:t>
      </w:r>
      <w:r>
        <w:rPr>
          <w:rFonts w:ascii="MS Gothic" w:eastAsia="MS Gothic" w:hAnsi="MS Gothic" w:cs="MS Gothic"/>
        </w:rPr>
        <w:t> </w:t>
      </w:r>
      <w:r>
        <w:rPr>
          <w:b/>
        </w:rPr>
        <w:t xml:space="preserve">e) </w:t>
      </w:r>
      <w:r>
        <w:t>Informar oportunamente al</w:t>
      </w:r>
      <w:r>
        <w:rPr>
          <w:b/>
        </w:rPr>
        <w:t xml:space="preserve"> </w:t>
      </w:r>
      <w:r>
        <w:t>SENA,</w:t>
      </w:r>
      <w:r>
        <w:rPr>
          <w:b/>
        </w:rPr>
        <w:t xml:space="preserve"> </w:t>
      </w:r>
      <w:r>
        <w:t>las circunstancias que afecten el normal desarrollo del contrato que puedan ser constitutivas de mora o incumplimiento de EL CONTRATISTA, anexando las pruebas y demás documentos a que haya lugar.</w:t>
      </w:r>
      <w:r>
        <w:rPr>
          <w:rFonts w:ascii="MS Gothic" w:eastAsia="MS Gothic" w:hAnsi="MS Gothic" w:cs="MS Gothic"/>
        </w:rPr>
        <w:t> </w:t>
      </w:r>
      <w:r>
        <w:rPr>
          <w:b/>
        </w:rPr>
        <w:t xml:space="preserve">f) </w:t>
      </w:r>
      <w:r>
        <w:t>Certificar sobre el cumplimiento de las obligaciones cumplidas y verificar los informes presentados por EL CONTRATISTA.</w:t>
      </w:r>
      <w:r>
        <w:rPr>
          <w:rFonts w:ascii="MS Gothic" w:eastAsia="MS Gothic" w:hAnsi="MS Gothic" w:cs="MS Gothic"/>
        </w:rPr>
        <w:t> </w:t>
      </w:r>
      <w:r>
        <w:rPr>
          <w:b/>
        </w:rPr>
        <w:t xml:space="preserve">g) </w:t>
      </w:r>
      <w:r>
        <w:t>Elaborar los certificados de cumplimiento para el pago del valor del contrato de acuerdo con lo establecido en la cláusula de forma de pago.</w:t>
      </w:r>
      <w:r>
        <w:rPr>
          <w:rFonts w:ascii="MS Gothic" w:eastAsia="MS Gothic" w:hAnsi="MS Gothic" w:cs="MS Gothic"/>
        </w:rPr>
        <w:t> </w:t>
      </w:r>
      <w:r>
        <w:rPr>
          <w:b/>
        </w:rPr>
        <w:t xml:space="preserve">h) </w:t>
      </w:r>
      <w:r>
        <w:t xml:space="preserve">Verificar que EL CONTRATISTA presente el informe final de actividades, con el fin de dar trámite a la liquidación del contrato, si a ello hubiere lugar, o a la expedición de la constancia de no liquidación, si procede. </w:t>
      </w:r>
      <w:r>
        <w:rPr>
          <w:b/>
        </w:rPr>
        <w:t xml:space="preserve">i) </w:t>
      </w:r>
      <w:r>
        <w:t>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EL SENA</w:t>
      </w:r>
      <w:r>
        <w:rPr>
          <w:b/>
        </w:rPr>
        <w:t>.</w:t>
      </w:r>
      <w:r>
        <w:rPr>
          <w:rFonts w:ascii="MS Gothic" w:eastAsia="MS Gothic" w:hAnsi="MS Gothic" w:cs="MS Gothic"/>
          <w:b/>
        </w:rPr>
        <w:t> </w:t>
      </w:r>
      <w:r>
        <w:rPr>
          <w:b/>
        </w:rPr>
        <w:t xml:space="preserve">j) </w:t>
      </w:r>
      <w:r>
        <w:t xml:space="preserve">Las demás funciones inherentes a la supervisión. </w:t>
      </w:r>
      <w:r>
        <w:rPr>
          <w:b/>
        </w:rPr>
        <w:t xml:space="preserve">PARÁGRAFO: </w:t>
      </w:r>
      <w:r>
        <w:t xml:space="preserve">En caso de ausencia parcial o total del supervisor, la misma será asumida por quien ocupe el cargo, sin necesidad de documento adicional alguno. Si no se da la situación anterior, el ordenador del pago designará uno nuevo, </w:t>
      </w:r>
      <w:r>
        <w:lastRenderedPageBreak/>
        <w:t xml:space="preserve">para lo cual no se requerirá de modificación contractual y el memorando con la nueva designación se comunicará a las partes mediante el SECOP II. </w:t>
      </w:r>
      <w:r>
        <w:rPr>
          <w:b/>
        </w:rPr>
        <w:t>CLÁUSULA QUINTA - CLÁUSULA PENAL PECUNIARIA</w:t>
      </w:r>
      <w:r>
        <w:t>: Se fija como cláusula penal pecuniaria la suma equivalente hasta el diez por ciento (10%) del valor total del contrato, independientemente de la indemnización plena de los perjuicios a que hubiere lugar, en caso de incumplimiento parcial o total del contrato por parte de EL CONTRATISTA, la cual pagará a EL SENA si</w:t>
      </w:r>
      <w:r>
        <w:rPr>
          <w:b/>
        </w:rPr>
        <w:t>n</w:t>
      </w:r>
      <w:r>
        <w:t xml:space="preserve"> necesidad de requerimiento judicial, en un término no mayor de veinte (20) días a partir de la fecha en que se declare el incumplimiento. Para hacerla efectiva se seguirá́ el procedimiento establecido en el artículo 17 de la Ley 1150 de 2007, 86 de la Ley 1474 de 2011 y 2.2.1.2.3.1.19 del Decreto 1082 de 2015. </w:t>
      </w:r>
      <w:r>
        <w:rPr>
          <w:b/>
        </w:rPr>
        <w:t>CLÁUSULA SEXTA - MULTAS:</w:t>
      </w:r>
      <w:r>
        <w:t xml:space="preserve"> En caso de mora o incumplimiento parcial de las obligaciones adquiridas por EL CONTRATISTA, EL SENA impondrá multas, de la siguiente manera: a) Multas por mora en los plazos establecidos para el cumplimiento de las obligaciones: si EL CONTRATISTA incumple los plazos establecidos para el cumplimiento de las obligaciones en las fechas que se acuerden, deberá pagar a EL SENA, por cada día calendario de retraso, el 0.5% del valor del contrato, sin que en total estas multas sobrepase el 10% del valor del contrato; b) Multas por incumplimiento parcial: si durante la ejecución del contrato EL CONTRATISTA incumple alguna otra u otras de las obligaciones contractuales, EL SENA le impondrá multas equivalentes al 0.5% del valor del contrato por cada obligación incumplida, sin que el total de estas multas sobrepase el diez por ciento (10%) del valor total de mismo. EL CONTRATISTA autoriza a EL SENA para descontar y tomar el valor de las multas de que tratan los literales anteriores, una vez en firme la resolución que las impone, de cualquier suma que le adeude EL SENA, sin perjuicio de que las haga efectivas conforme a la Ley. El pago o la deducción de dichas multas no exonera a EL CONTRATISTA de l</w:t>
      </w:r>
      <w:r>
        <w:rPr>
          <w:b/>
        </w:rPr>
        <w:t>a</w:t>
      </w:r>
      <w:r>
        <w:t xml:space="preserve"> obligación de cumplir con el objeto del contrato, ni de las demás obligaciones y responsabilidades que emanen del mismo. </w:t>
      </w:r>
      <w:r>
        <w:rPr>
          <w:b/>
        </w:rPr>
        <w:t xml:space="preserve">PARÁGRAFO: </w:t>
      </w:r>
      <w:r>
        <w:t xml:space="preserve">Para su imposición se seguirá el procedimiento establecido en la Ley 1474 de 2011 o la norma que lo adicione, modifique, derogue o sustituya. </w:t>
      </w:r>
      <w:r>
        <w:rPr>
          <w:b/>
        </w:rPr>
        <w:t>CLÁUSULA SÉPTIMA - SOLUCIÓN DE CONTROVERSIAS CONTRACTUALES:</w:t>
      </w:r>
      <w:r>
        <w:t xml:space="preserve"> Cualquier diferencia que surja entre las partes por la ejecución, interpretación, terminación o liquidación del presento (electrónico o físico) y en general, sobre los derechos y obligaciones derivados del mismo, durante su etapa precontractual, contractual y post contractual se solucionará primero por las partes, mediante arreglo directo, la cual tendrá́ una duración de hasta treinta (30) días hábiles. En caso de no llegar a un acuerdo, las partes convienen hacer uso de los mecanismos de solución previstos en la Ley, tales como la conciliación, amigable composición y transacción.  </w:t>
      </w:r>
      <w:r>
        <w:rPr>
          <w:b/>
        </w:rPr>
        <w:t xml:space="preserve">CLÁUSULA OCTAVA - CADUCIDAD: </w:t>
      </w:r>
      <w:r>
        <w:t xml:space="preserve">Se adoptará esta medida de conformidad con lo previsto en el artículo 18 de la Ley 80 de 1993 y por las causales señaladas en esa Ley y en las demás normas vigentes. </w:t>
      </w:r>
      <w:r>
        <w:rPr>
          <w:b/>
        </w:rPr>
        <w:t xml:space="preserve">CLÁUSULA NOVENA - INTERPRETACIÓN, MODIFICACIÓN Y TERMINACIÓN UNILATERAL: </w:t>
      </w:r>
      <w:r>
        <w:t>Son</w:t>
      </w:r>
      <w:r>
        <w:rPr>
          <w:b/>
        </w:rPr>
        <w:t xml:space="preserve"> </w:t>
      </w:r>
      <w:r>
        <w:t xml:space="preserve">aplicables al presente contrato la terminación, modificación e interpretación unilateral, en los términos establecidos en la Ley 80 de 1993 y demás normas vigentes. </w:t>
      </w:r>
      <w:r>
        <w:rPr>
          <w:b/>
        </w:rPr>
        <w:t xml:space="preserve">CLÁUSULA DÉCIMA - TERMINACIÓN: </w:t>
      </w:r>
      <w:r>
        <w:t xml:space="preserve">Este contrato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 </w:t>
      </w:r>
      <w:r>
        <w:rPr>
          <w:b/>
        </w:rPr>
        <w:t xml:space="preserve">CLÁUSULA DÉCIMA PRIMERA - CESIÓN DEL CONTRATO: </w:t>
      </w:r>
      <w:r>
        <w:t xml:space="preserve">De conformidad con lo establecido en el artículo 41 de la Ley 80 de 1993, el presente contrato es </w:t>
      </w:r>
      <w:r>
        <w:rPr>
          <w:i/>
        </w:rPr>
        <w:t>"</w:t>
      </w:r>
      <w:proofErr w:type="spellStart"/>
      <w:r>
        <w:rPr>
          <w:i/>
        </w:rPr>
        <w:t>intuitu</w:t>
      </w:r>
      <w:proofErr w:type="spellEnd"/>
      <w:r>
        <w:rPr>
          <w:i/>
        </w:rPr>
        <w:t xml:space="preserve"> </w:t>
      </w:r>
      <w:proofErr w:type="spellStart"/>
      <w:r>
        <w:rPr>
          <w:i/>
        </w:rPr>
        <w:t>personae</w:t>
      </w:r>
      <w:proofErr w:type="spellEnd"/>
      <w:r>
        <w:rPr>
          <w:i/>
        </w:rPr>
        <w:t>" en co</w:t>
      </w:r>
      <w:r>
        <w:t>nsecuencia no podrá́ ser cedido a ningún título por EL CONTRATISTA sin la autorización previa, expresa y escrita de EL SENA. EL CON</w:t>
      </w:r>
      <w:r>
        <w:rPr>
          <w:b/>
        </w:rPr>
        <w:t>T</w:t>
      </w:r>
      <w:r>
        <w:t>RATISTA respon</w:t>
      </w:r>
      <w:r>
        <w:rPr>
          <w:b/>
        </w:rPr>
        <w:t>d</w:t>
      </w:r>
      <w:r>
        <w:t xml:space="preserve">erá́ por la ejecución de las obligaciones contractuales hasta que el documento de cesión esté suscrito por las partes y el (la) Ordenador (a) del Gasto. </w:t>
      </w:r>
      <w:r>
        <w:rPr>
          <w:b/>
        </w:rPr>
        <w:t xml:space="preserve">CLÁUSULA DÉCIMA SEGUNDA - INHABILIDADES E INCOMPATIBILIDADES, CONFLICTO DE INTERESES E IMPEDIMENTOS: El CONTRATISTA </w:t>
      </w:r>
      <w:r>
        <w:t xml:space="preserve">declara bajo la gravedad del juramento que se entiende surtido con la firma electrónica del 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w:t>
      </w:r>
      <w:r>
        <w:lastRenderedPageBreak/>
        <w:t xml:space="preserve">del Estado, o que si es deudor ha suscrito acuerdo de pago vigente. </w:t>
      </w:r>
      <w:r>
        <w:rPr>
          <w:b/>
          <w:color w:val="000000"/>
        </w:rPr>
        <w:t xml:space="preserve">CLÁUSULA DÉCIMA TERCERA SUSPENSIÓN: </w:t>
      </w:r>
      <w:r>
        <w:t xml:space="preserve">El plazo de ejecución del presente contrato (Electrónico o físico) podrá ser suspendido excepcionalmente de manera temporal, en las siguientes circunstancias: 1. Por el mutuo acuerdo de las partes. 2. Fuerza mayor o caso fortuito, por causas debidamente justificadas, previa solicitud del CONTRATISTA. La suspensión se hará mediante acta suscrita electrónicamente por las partes en la cual se expresará su causa, el término de la suspensión y la fecha en que se reanuda la ejecución del contrato. </w:t>
      </w:r>
      <w:r>
        <w:rPr>
          <w:b/>
        </w:rPr>
        <w:t xml:space="preserve">PARÁGRAFO: </w:t>
      </w:r>
      <w:r>
        <w:t xml:space="preserve">En caso de suspensión el CONTRATISTA se obliga a informar tal evento al asegurador y a ampliar las garantías, proporcionalmente al término que dure la misma y a publicarla en el aplicativo SECOP II. </w:t>
      </w:r>
      <w:r>
        <w:rPr>
          <w:b/>
        </w:rPr>
        <w:t xml:space="preserve">CLAÚSULA DECIMA CUARTA: AUSENCIA DE RELACIÓN LABORAL: </w:t>
      </w:r>
      <w:r>
        <w:t xml:space="preserve">Las partes dejan constancia expresa que el prese (Electrónico o físico) se suscribe en el marco del artículo 32 – numeral 3 de la Ley 80 de 1993 y demás normas concordantes, complementarias y la Resolución No. 1-0330 de 2019, por lo cual declaran y aceptan que no conlleva relación laboral ni prestaciones sociales; su ejecución se hará sin subordinación alguna, gozando el contratista de independencia en la preparación y ejecución del contrato. </w:t>
      </w:r>
      <w:r>
        <w:rPr>
          <w:b/>
        </w:rPr>
        <w:t>CLÁUSULA DÉCIMA QUINTA LIQUIDACIÓN DEL CONTRATO:</w:t>
      </w:r>
      <w:r>
        <w:rPr>
          <w:b/>
          <w:u w:val="single"/>
        </w:rPr>
        <w:t xml:space="preserve"> </w:t>
      </w:r>
      <w:r>
        <w:t xml:space="preserve">De conformidad con el artículo 217 del Decreto Ley 19 de 2012, que modificó el artículo 60 de la Ley 80 de 1993, no será liquidado el presente (Electrónico o físico)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electrónico o físico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Ley 1150 de 2007. </w:t>
      </w:r>
      <w:r>
        <w:rPr>
          <w:b/>
        </w:rPr>
        <w:t xml:space="preserve">CLÁUSULA DÉCIMA SEXTA- PROPIEDAD INTELECTUAL: </w:t>
      </w:r>
      <w:r>
        <w:t>Si de la ejecución del presente electrónico o físico resultan estudios, investigaciones, descubrimientos, invenciones, información, mejoras y/o diseños, éstos pertenecen a EL SENA de conformidad con lo establecido en el artículo 20 de la Ley 23 de 1982 modificado por el artículo 28 de la Ley 1450 de 2011, y el artículo 21 de la misma Ley, que establece el término de protección, sin perjuicio del respeto al derecho moral consagrado en el artículo 11 de la Decisión Andina 351 de 1993 concordante con el artículo 30 de la Ley 23 de 1982. Así mismo, EL CONTRATISTA garantiza que l</w:t>
      </w:r>
      <w:r>
        <w:rPr>
          <w:b/>
        </w:rPr>
        <w:t>o</w:t>
      </w:r>
      <w:r>
        <w:t xml:space="preserve">s trabajos y servicios prestados a EL SENA por el objeto de este contrato no infringen ni vulneran los derechos de propiedad intelectual o industrial o cualesquiera otros derechos legales o contractuales de terceros. </w:t>
      </w:r>
      <w:r>
        <w:rPr>
          <w:b/>
        </w:rPr>
        <w:t>CLÁUSULA DÉCIMA SEPTIMA: SEGURIDAD DE LA</w:t>
      </w:r>
      <w:r>
        <w:t xml:space="preserve"> </w:t>
      </w:r>
      <w:r>
        <w:rPr>
          <w:b/>
        </w:rPr>
        <w:t xml:space="preserve">INFORMACIÓN Y CONFIDENCIALIDAD: </w:t>
      </w:r>
      <w:r>
        <w:t xml:space="preserve">Las partes se obligan a guardar estricta confidencialidad sobre toda la información sometida a reserva debidamente identificada como tal por la parte originadora y conocida en virtud del desarrollo y ejecución del presente contrato o físico, así como la información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esta. PARÁGRAFO. La presente cláusula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 Ley 1755 de 2015, respecto </w:t>
      </w:r>
      <w:r>
        <w:lastRenderedPageBreak/>
        <w:t xml:space="preserve">de la información y documentos reservados, artículo 24 sustituido, y en las demás normas concordantes y complementarias que regulen la materia. </w:t>
      </w:r>
      <w:r>
        <w:rPr>
          <w:b/>
        </w:rPr>
        <w:t xml:space="preserve">CLÁUSULA DÉCIMA OCTAVA: DOMICILIO: </w:t>
      </w:r>
      <w:r>
        <w:t xml:space="preserve">Para todos los efectos legales y fiscales, las partes fijan como domicilio contractual la ciudad de (domicilio contractual) y para efectos de notificación se entenderá como domicilio del CONTRATISTA la dirección de residencia y teléfono, los datos reportados y validados en el aplicativo SIGEP. </w:t>
      </w:r>
      <w:r>
        <w:rPr>
          <w:b/>
        </w:rPr>
        <w:t xml:space="preserve">CLÁUSULA DÉCIMA NOVENA: </w:t>
      </w:r>
      <w:r>
        <w:t xml:space="preserve">PERFECCIONAMIENTO, EJECUCIÓN: El presente contrató (electrónico o físico) se entiende perfeccionado con la firma de las partes contratantes. Para su ejecución se requiere del Registro Presupuestal por parte del SENA, la aprobación de la garantía de cumplimiento por parte del SENA y encontrarse al día con los pagos a la seguridad social. </w:t>
      </w:r>
      <w:r>
        <w:rPr>
          <w:b/>
        </w:rPr>
        <w:t>CLÁUSULA UNDÉCIMA:</w:t>
      </w:r>
      <w:r>
        <w:t xml:space="preserve"> INTEGRALIDAD CONTRATO ELECTRÓNICO: Los contratos en el SECOP II están compuestos por el formulario y los anexos que son, mensajes de datos que la Entidad envía al proveedor como “contrato” y el mensaje de datos de aceptación por parte del proveedor, estos mensajes acompañados de la firma electrónica y el sello de tiempo que provee la plataforma constituyen el contrato electrónico el cual tiene plena validez y fuerza obligatoria. </w:t>
      </w:r>
      <w:r>
        <w:rPr>
          <w:b/>
        </w:rPr>
        <w:t>CLÁUSULA DUODÉCIMA: OBLIGACIONES ESPECÍFICAS DEL CONTRATISTA</w:t>
      </w:r>
      <w:r>
        <w:t xml:space="preserve">: </w:t>
      </w:r>
    </w:p>
    <w:p w14:paraId="5B42AE6D" w14:textId="69062437" w:rsidR="00CD31A3" w:rsidRDefault="00CD31A3" w:rsidP="00C7217C">
      <w:pPr>
        <w:spacing w:line="240" w:lineRule="auto"/>
      </w:pPr>
      <w:r>
        <w:t>1. Cumplir a cabalidad el objeto del contrato en los programas y niveles de formación en el</w:t>
      </w:r>
      <w:r w:rsidR="00ED0DAE">
        <w:t xml:space="preserve"> </w:t>
      </w:r>
      <w:r>
        <w:t>Centro Textil y de Gestión Industrial con seriedad, responsabilidad, profesionalismo,</w:t>
      </w:r>
      <w:r w:rsidR="00ED0DAE">
        <w:t xml:space="preserve"> </w:t>
      </w:r>
      <w:r>
        <w:t>eficiencia, oportunidad y calidad de conformidad con la necesidad del servicio.</w:t>
      </w:r>
    </w:p>
    <w:p w14:paraId="7E2903DB" w14:textId="2DAFD0EB" w:rsidR="00CD31A3" w:rsidRDefault="00CD31A3" w:rsidP="00C7217C">
      <w:pPr>
        <w:spacing w:line="240" w:lineRule="auto"/>
      </w:pPr>
      <w:r>
        <w:t>2. Crear rutas de aprendizaje según el programa y nivel de formación, asociar aprendices a la</w:t>
      </w:r>
      <w:r w:rsidR="00ED0DAE">
        <w:t xml:space="preserve"> </w:t>
      </w:r>
      <w:r>
        <w:t>ruta de aprendizaje definida.</w:t>
      </w:r>
    </w:p>
    <w:p w14:paraId="66ABB028" w14:textId="4A33AA1B" w:rsidR="00CD31A3" w:rsidRDefault="00CD31A3" w:rsidP="00C7217C">
      <w:pPr>
        <w:spacing w:line="240" w:lineRule="auto"/>
      </w:pPr>
      <w:r>
        <w:t>3. Participar en la planeación y ejecución del proceso de inducción de aprendices según</w:t>
      </w:r>
      <w:r w:rsidR="00ED0DAE">
        <w:t xml:space="preserve"> </w:t>
      </w:r>
      <w:r>
        <w:t>programa y nivel de formación, de acuerdo con la programación indicada por la respectiva</w:t>
      </w:r>
      <w:r w:rsidR="00ED0DAE">
        <w:t xml:space="preserve"> </w:t>
      </w:r>
      <w:r>
        <w:t>Coordinación Académica y al calendario de formación institucional establecido por la</w:t>
      </w:r>
      <w:r w:rsidR="00ED0DAE">
        <w:t xml:space="preserve"> </w:t>
      </w:r>
      <w:r>
        <w:t>Dirección General del SENA y registrar juicios derivados del proceso de inducción.</w:t>
      </w:r>
    </w:p>
    <w:p w14:paraId="73C872AA" w14:textId="2C81DD13" w:rsidR="00CD31A3" w:rsidRDefault="00CD31A3" w:rsidP="00C7217C">
      <w:pPr>
        <w:spacing w:line="240" w:lineRule="auto"/>
      </w:pPr>
      <w:r>
        <w:t xml:space="preserve">4. Diseñar, programar y ejecutar las estrategias de enseñanza - aprendizaje </w:t>
      </w:r>
      <w:r w:rsidR="00ED0DAE">
        <w:t>–</w:t>
      </w:r>
      <w:r>
        <w:t xml:space="preserve"> evaluación</w:t>
      </w:r>
      <w:r w:rsidR="00ED0DAE">
        <w:t xml:space="preserve"> </w:t>
      </w:r>
      <w:r>
        <w:t>correspondiente al programa y nivel de formación profesional bajo el enfoque metodológico</w:t>
      </w:r>
      <w:r w:rsidR="00ED0DAE">
        <w:t xml:space="preserve"> </w:t>
      </w:r>
      <w:r>
        <w:t>adoptado por el SENA y según orientaciones de la Coordinación Académica.</w:t>
      </w:r>
    </w:p>
    <w:p w14:paraId="33A5920D" w14:textId="6D9B480C" w:rsidR="00CD31A3" w:rsidRDefault="00CD31A3" w:rsidP="00C7217C">
      <w:pPr>
        <w:spacing w:line="240" w:lineRule="auto"/>
      </w:pPr>
      <w:r>
        <w:t>5. Orientar el proceso de formación profesional integral de en los programas de formación</w:t>
      </w:r>
      <w:r w:rsidR="00ED0DAE">
        <w:t xml:space="preserve"> </w:t>
      </w:r>
      <w:r>
        <w:t>titulada y complementaria de forma presencial y/o virtual de conformidad con la estrategia</w:t>
      </w:r>
      <w:r w:rsidR="00ED0DAE">
        <w:t xml:space="preserve"> </w:t>
      </w:r>
      <w:r>
        <w:t>metodológica de la institución, según las actividades de aprendizaje con base en técnicas</w:t>
      </w:r>
      <w:r w:rsidR="00ED0DAE">
        <w:t xml:space="preserve"> </w:t>
      </w:r>
      <w:r>
        <w:t>didácticas activas, promoviendo el acceso a diversas fuentes de conocimiento.</w:t>
      </w:r>
    </w:p>
    <w:p w14:paraId="1F0F3106" w14:textId="623AECF2" w:rsidR="00CD31A3" w:rsidRDefault="00CD31A3" w:rsidP="00C7217C">
      <w:pPr>
        <w:spacing w:line="240" w:lineRule="auto"/>
      </w:pPr>
      <w:r>
        <w:t>6. Emitir los juicios evaluativos de cada Competencia y Resultado de Aprendizaje</w:t>
      </w:r>
      <w:r w:rsidR="00ED0DAE">
        <w:t xml:space="preserve"> </w:t>
      </w:r>
      <w:r>
        <w:t>correspondiente, a más tardar 8 días hábiles después de finalizada la formación con los</w:t>
      </w:r>
      <w:r w:rsidR="00ED0DAE">
        <w:t xml:space="preserve"> </w:t>
      </w:r>
      <w:r>
        <w:t>grupos de formación titulada y complementaria, lo que dará cuenta del correcto avance de</w:t>
      </w:r>
      <w:r w:rsidR="00ED0DAE">
        <w:t xml:space="preserve"> </w:t>
      </w:r>
      <w:r>
        <w:t>los aprendices en el proceso formativo.</w:t>
      </w:r>
    </w:p>
    <w:p w14:paraId="25AD8289" w14:textId="3BB4893A" w:rsidR="00CD31A3" w:rsidRDefault="00CD31A3" w:rsidP="00C7217C">
      <w:pPr>
        <w:spacing w:line="240" w:lineRule="auto"/>
      </w:pPr>
      <w:r>
        <w:t>7. Reportar y registrar oportunamente las inasistencias y los resultados del proceso de</w:t>
      </w:r>
      <w:r w:rsidR="00ED0DAE">
        <w:t xml:space="preserve"> </w:t>
      </w:r>
      <w:r>
        <w:t>evaluación a los aprendices que participan del desarrollo de las acciones formativas de</w:t>
      </w:r>
      <w:r w:rsidR="00ED0DAE">
        <w:t xml:space="preserve"> </w:t>
      </w:r>
      <w:r>
        <w:t>acuerdo con los lineamientos establecidos.</w:t>
      </w:r>
    </w:p>
    <w:p w14:paraId="0003A410" w14:textId="095DE114" w:rsidR="00CD31A3" w:rsidRDefault="00CD31A3" w:rsidP="00C7217C">
      <w:pPr>
        <w:spacing w:line="240" w:lineRule="auto"/>
      </w:pPr>
      <w:r>
        <w:t>8. Reportar mensualmente a la Coordinación Académica las novedades de Deserción de</w:t>
      </w:r>
      <w:r w:rsidR="00ED0DAE">
        <w:t xml:space="preserve"> </w:t>
      </w:r>
      <w:r>
        <w:t>aprendices que se presenten durante el desarrollo de la formación y registrar</w:t>
      </w:r>
      <w:r w:rsidR="00535A1A">
        <w:t xml:space="preserve"> </w:t>
      </w:r>
      <w:r>
        <w:t>inmediatamente las inasistencias de los aprendices en el aplicativo SOFIAPLUS.</w:t>
      </w:r>
    </w:p>
    <w:p w14:paraId="3A3A1894" w14:textId="322696CF" w:rsidR="00CD31A3" w:rsidRDefault="00CD31A3" w:rsidP="00C7217C">
      <w:pPr>
        <w:spacing w:line="240" w:lineRule="auto"/>
      </w:pPr>
      <w:r>
        <w:t>9. Generar trimestralmente los reportes de juicios evaluativos de cada ficha para garantizar el</w:t>
      </w:r>
      <w:r w:rsidR="00535A1A">
        <w:t xml:space="preserve"> </w:t>
      </w:r>
      <w:r>
        <w:t>correcto registro de la información en SOFIAPLUS.</w:t>
      </w:r>
    </w:p>
    <w:p w14:paraId="2A30020E" w14:textId="6A16B108" w:rsidR="00CD31A3" w:rsidRDefault="00CD31A3" w:rsidP="00C7217C">
      <w:pPr>
        <w:spacing w:line="240" w:lineRule="auto"/>
      </w:pPr>
      <w:r>
        <w:t>10. Participar en los comités de evaluación y seguimiento de carácter ordinario y extraordinario</w:t>
      </w:r>
      <w:r w:rsidR="00535A1A">
        <w:t xml:space="preserve"> </w:t>
      </w:r>
      <w:r>
        <w:t>de los procesos de formación según programación previamente definida por la Coordinación</w:t>
      </w:r>
    </w:p>
    <w:p w14:paraId="0ECBAF53" w14:textId="77777777" w:rsidR="00CD31A3" w:rsidRDefault="00CD31A3" w:rsidP="00C7217C">
      <w:pPr>
        <w:spacing w:line="240" w:lineRule="auto"/>
      </w:pPr>
      <w:r>
        <w:t>Académica.</w:t>
      </w:r>
    </w:p>
    <w:p w14:paraId="3711CDA2" w14:textId="77777777" w:rsidR="00CD31A3" w:rsidRDefault="00CD31A3" w:rsidP="00C7217C">
      <w:pPr>
        <w:spacing w:line="240" w:lineRule="auto"/>
      </w:pPr>
      <w:r>
        <w:t>11. Participar en las reuniones de equipos de ejecución de la formación por grupo o áreas, según</w:t>
      </w:r>
    </w:p>
    <w:p w14:paraId="476AC2FE" w14:textId="08FD0D6E" w:rsidR="00CD31A3" w:rsidRDefault="00CD31A3" w:rsidP="00C7217C">
      <w:pPr>
        <w:spacing w:line="240" w:lineRule="auto"/>
      </w:pPr>
      <w:r>
        <w:t>la determinación de la respectiva Coordinación Académica y de acuerdo con el</w:t>
      </w:r>
      <w:r w:rsidR="00535A1A">
        <w:t xml:space="preserve"> </w:t>
      </w:r>
      <w:r>
        <w:t>procedimiento establecido por la institución, para garantizar integralidad en el diseño de</w:t>
      </w:r>
      <w:r w:rsidR="00535A1A">
        <w:t xml:space="preserve"> </w:t>
      </w:r>
      <w:r>
        <w:t>actividades de aprendizaje.</w:t>
      </w:r>
    </w:p>
    <w:p w14:paraId="730C3701" w14:textId="2211A740" w:rsidR="00CD31A3" w:rsidRDefault="00CD31A3" w:rsidP="00C7217C">
      <w:pPr>
        <w:spacing w:line="240" w:lineRule="auto"/>
      </w:pPr>
      <w:r>
        <w:t>12. Realizar el seguimiento en los sitios específicos donde los aprendices desarrollan sus</w:t>
      </w:r>
      <w:r w:rsidR="00535A1A">
        <w:t xml:space="preserve"> </w:t>
      </w:r>
      <w:r>
        <w:t>respectivas etapas prácticas, de acuerdo con la programación de la Coordinación</w:t>
      </w:r>
      <w:r w:rsidR="00535A1A">
        <w:t xml:space="preserve"> </w:t>
      </w:r>
      <w:r>
        <w:t>Académica y en articulación con el responsable de seguimiento a etapa práctica del centro</w:t>
      </w:r>
      <w:r w:rsidR="00535A1A">
        <w:t xml:space="preserve"> </w:t>
      </w:r>
      <w:r>
        <w:t>de formación.</w:t>
      </w:r>
    </w:p>
    <w:p w14:paraId="4C738280" w14:textId="590F3E20" w:rsidR="00CD31A3" w:rsidRDefault="00CD31A3" w:rsidP="00C7217C">
      <w:pPr>
        <w:spacing w:line="240" w:lineRule="auto"/>
      </w:pPr>
      <w:r>
        <w:lastRenderedPageBreak/>
        <w:t>13. Apoyar técnicamente en la supervisión de los contratos en lo que de acuerdo con sus</w:t>
      </w:r>
      <w:r w:rsidR="00535A1A">
        <w:t xml:space="preserve"> </w:t>
      </w:r>
      <w:r>
        <w:t>conocimientos y experiencia pueda contribuir, previa designación por parte de la</w:t>
      </w:r>
      <w:r w:rsidR="00535A1A">
        <w:t xml:space="preserve"> </w:t>
      </w:r>
      <w:r>
        <w:t>Subdirección.</w:t>
      </w:r>
    </w:p>
    <w:p w14:paraId="04819F66" w14:textId="5EB0523A" w:rsidR="00CD31A3" w:rsidRDefault="00CD31A3" w:rsidP="00C7217C">
      <w:pPr>
        <w:spacing w:line="240" w:lineRule="auto"/>
      </w:pPr>
      <w:r>
        <w:t>14. Validar mensualmente en Sofia plus la diagramación y disponibilidad a través del rol de</w:t>
      </w:r>
      <w:r w:rsidR="00684C4C">
        <w:t xml:space="preserve"> </w:t>
      </w:r>
      <w:r>
        <w:t>“instructor” en SOFIAPLUS y generar el informe de gestión de tiempos e informar al</w:t>
      </w:r>
      <w:r w:rsidR="00684C4C">
        <w:t xml:space="preserve"> </w:t>
      </w:r>
      <w:r>
        <w:t>coordinador académico las novedades identificadas</w:t>
      </w:r>
      <w:r w:rsidR="00684C4C">
        <w:t>.</w:t>
      </w:r>
    </w:p>
    <w:p w14:paraId="77BA4EA2" w14:textId="42583D42" w:rsidR="00CD31A3" w:rsidRDefault="00CD31A3" w:rsidP="00C7217C">
      <w:pPr>
        <w:spacing w:line="240" w:lineRule="auto"/>
      </w:pPr>
      <w:r>
        <w:t>15. Apoyar al área de Administración Educativa trimestralmente en la verificación de datos</w:t>
      </w:r>
      <w:r w:rsidR="00684C4C">
        <w:t xml:space="preserve"> </w:t>
      </w:r>
      <w:r>
        <w:t>básicos de los aprendices matriculados en las fichas que imparte formación.</w:t>
      </w:r>
    </w:p>
    <w:p w14:paraId="404A6933" w14:textId="2110F270" w:rsidR="00CD31A3" w:rsidRDefault="00CD31A3" w:rsidP="00C7217C">
      <w:pPr>
        <w:spacing w:line="240" w:lineRule="auto"/>
      </w:pPr>
      <w:r>
        <w:t>16. Reportar trimestralmente las alternativas de Etapa Productiva que los aprendices</w:t>
      </w:r>
      <w:r w:rsidR="00684C4C">
        <w:t xml:space="preserve"> </w:t>
      </w:r>
      <w:r>
        <w:t>seleccionan al área de Contrato de Aprendizaje, Seguimiento a Prácticas, Administración</w:t>
      </w:r>
      <w:r w:rsidR="00684C4C">
        <w:t xml:space="preserve"> </w:t>
      </w:r>
      <w:r>
        <w:t>Educativa y Coordinación Académica para el adecuado registro de la información en</w:t>
      </w:r>
      <w:r w:rsidR="00684C4C">
        <w:t xml:space="preserve"> </w:t>
      </w:r>
      <w:r>
        <w:t>SOFIAPLUS.</w:t>
      </w:r>
    </w:p>
    <w:p w14:paraId="5F906C88" w14:textId="296EFED5" w:rsidR="00CD31A3" w:rsidRDefault="00CD31A3" w:rsidP="00C7217C">
      <w:pPr>
        <w:spacing w:line="240" w:lineRule="auto"/>
      </w:pPr>
      <w:r>
        <w:t>17. Apoyar la formulación, implementación o desarrollo de proyectos de desarrollo tecnológico,</w:t>
      </w:r>
      <w:r w:rsidR="003938A5">
        <w:t xml:space="preserve"> </w:t>
      </w:r>
      <w:r>
        <w:t>investigación e innovación en el marco de las líneas programáticas (modernización de</w:t>
      </w:r>
      <w:r w:rsidR="003938A5">
        <w:t xml:space="preserve"> </w:t>
      </w:r>
      <w:r>
        <w:t xml:space="preserve">ambientes, investigación aplicada e innovación) </w:t>
      </w:r>
      <w:proofErr w:type="spellStart"/>
      <w:r>
        <w:t>Sennova</w:t>
      </w:r>
      <w:proofErr w:type="spellEnd"/>
      <w:r>
        <w:t>, de acuerdo con los lineamientos</w:t>
      </w:r>
      <w:r w:rsidR="003938A5">
        <w:t xml:space="preserve"> </w:t>
      </w:r>
      <w:r>
        <w:t>establecidos de ser requerido el apoyo en las siguientes actividades:</w:t>
      </w:r>
    </w:p>
    <w:p w14:paraId="4C116F98" w14:textId="6D9192B8" w:rsidR="00CD31A3" w:rsidRDefault="00CD31A3" w:rsidP="00C7217C">
      <w:pPr>
        <w:spacing w:line="240" w:lineRule="auto"/>
      </w:pPr>
      <w:r>
        <w:t>a) Apoyar la producción científica del Grupo de Investigación aplicada a la Industria, al</w:t>
      </w:r>
      <w:r w:rsidR="003938A5">
        <w:t xml:space="preserve"> </w:t>
      </w:r>
      <w:r>
        <w:t>Textil y a la Química (GIAITEQ) y semilleros de investigación suscritos al mismo,</w:t>
      </w:r>
      <w:r w:rsidR="003938A5">
        <w:t xml:space="preserve"> </w:t>
      </w:r>
      <w:r>
        <w:t>para mejorar la calidad de la investigación del centro impactando en ecosistema de</w:t>
      </w:r>
      <w:r w:rsidR="003D3AB1">
        <w:t xml:space="preserve"> </w:t>
      </w:r>
      <w:r>
        <w:t>Ciencia, Tecnología e Innovación del país.</w:t>
      </w:r>
      <w:r w:rsidR="003D3AB1">
        <w:t xml:space="preserve"> </w:t>
      </w:r>
      <w:r>
        <w:t>b) Realizar acompañamiento y seguimiento técnico y operativo a los proyectos de</w:t>
      </w:r>
      <w:r w:rsidR="003D3AB1">
        <w:t xml:space="preserve"> </w:t>
      </w:r>
      <w:r>
        <w:t>investigación desarrollados por el grupo de investigación GIAITEQ.</w:t>
      </w:r>
    </w:p>
    <w:p w14:paraId="299A8C7E" w14:textId="13E02B89" w:rsidR="00CD31A3" w:rsidRDefault="00CD31A3" w:rsidP="00C7217C">
      <w:pPr>
        <w:spacing w:line="240" w:lineRule="auto"/>
      </w:pPr>
      <w:r>
        <w:t>c) Motivar, acompañar y guiar a los aprendices en el desarrollo de sus actividades de</w:t>
      </w:r>
      <w:r w:rsidR="003D3AB1">
        <w:t xml:space="preserve"> </w:t>
      </w:r>
      <w:r>
        <w:t>investigación formativa mediante la estrategia de semilleros en marco de los</w:t>
      </w:r>
      <w:r w:rsidR="003D3AB1">
        <w:t xml:space="preserve"> </w:t>
      </w:r>
      <w:r>
        <w:t>diferentes proyectos que se ejecuten, incluidos los proyectos de emprendimiento.</w:t>
      </w:r>
    </w:p>
    <w:p w14:paraId="2430AB4D" w14:textId="193D4F6C" w:rsidR="00CD31A3" w:rsidRDefault="00CD31A3" w:rsidP="00C7217C">
      <w:pPr>
        <w:spacing w:line="240" w:lineRule="auto"/>
      </w:pPr>
      <w:r>
        <w:t>d) Crear, formar y fomentar la permanencia de aprendices en la estrategia de semilleros</w:t>
      </w:r>
      <w:r w:rsidR="003D3AB1">
        <w:t xml:space="preserve"> </w:t>
      </w:r>
      <w:r>
        <w:t>de investigación suscritos al grupo GIAITEQ en correspondencia con los programas</w:t>
      </w:r>
      <w:r w:rsidR="003D3AB1">
        <w:t xml:space="preserve"> </w:t>
      </w:r>
      <w:r>
        <w:t>de formación titulada del Centro.</w:t>
      </w:r>
    </w:p>
    <w:p w14:paraId="3A17AD25" w14:textId="79661236" w:rsidR="00CD31A3" w:rsidRDefault="00CD31A3" w:rsidP="00C7217C">
      <w:pPr>
        <w:spacing w:line="240" w:lineRule="auto"/>
      </w:pPr>
      <w:r>
        <w:t>e) Desarrollar artículos científicos con fines de publicación en revistas indexadas,</w:t>
      </w:r>
      <w:r w:rsidR="003D3AB1">
        <w:t xml:space="preserve"> </w:t>
      </w:r>
      <w:r>
        <w:t>orientados a fortalecer la capacidad científica y la producción del grupo de</w:t>
      </w:r>
      <w:r w:rsidR="003D3AB1">
        <w:t xml:space="preserve"> </w:t>
      </w:r>
      <w:r>
        <w:t>investigación del Centro.</w:t>
      </w:r>
    </w:p>
    <w:p w14:paraId="18BDB2EF" w14:textId="3CB97884" w:rsidR="00CD31A3" w:rsidRDefault="00CD31A3" w:rsidP="00C7217C">
      <w:pPr>
        <w:spacing w:line="240" w:lineRule="auto"/>
      </w:pPr>
      <w:r>
        <w:t>f) Desarrollar artículos científicos con fines de publicación en revistas indexadas,</w:t>
      </w:r>
      <w:r w:rsidR="003D3AB1">
        <w:t xml:space="preserve"> </w:t>
      </w:r>
      <w:r>
        <w:t>orientados a fortalecer la capacidad científica y la producción del grupo de</w:t>
      </w:r>
      <w:r w:rsidR="003D3AB1">
        <w:t xml:space="preserve"> </w:t>
      </w:r>
      <w:r>
        <w:t>investigación del Centro.</w:t>
      </w:r>
    </w:p>
    <w:p w14:paraId="6C360DAF" w14:textId="13BA8C34" w:rsidR="00CD31A3" w:rsidRDefault="00CD31A3" w:rsidP="00C7217C">
      <w:pPr>
        <w:spacing w:line="240" w:lineRule="auto"/>
      </w:pPr>
      <w:r>
        <w:t>18. Presentar mensualmente cuenta de cobro de honorarios, en el formato indicado por la</w:t>
      </w:r>
      <w:r w:rsidR="003D3AB1">
        <w:t xml:space="preserve"> </w:t>
      </w:r>
      <w:r>
        <w:t>entidad, acompañado del respectivo informe de actividades y planilla de pago de seguridad</w:t>
      </w:r>
      <w:r w:rsidR="003D3AB1">
        <w:t xml:space="preserve"> </w:t>
      </w:r>
      <w:r>
        <w:t>social; al igual que los documentos que llegaren a ser requeridos, dentro de las fechas</w:t>
      </w:r>
      <w:r w:rsidR="003D3AB1">
        <w:t xml:space="preserve"> </w:t>
      </w:r>
      <w:r>
        <w:t>señaladas por el SENA.</w:t>
      </w:r>
    </w:p>
    <w:p w14:paraId="1E6FA0B5" w14:textId="38F61515" w:rsidR="00CD31A3" w:rsidRDefault="00CD31A3" w:rsidP="00C7217C">
      <w:pPr>
        <w:spacing w:line="240" w:lineRule="auto"/>
      </w:pPr>
      <w:r>
        <w:t>19. Atender de manera oportuna las PQRS y demás actuaciones administrativas de los</w:t>
      </w:r>
      <w:r w:rsidR="003D3AB1">
        <w:t xml:space="preserve"> </w:t>
      </w:r>
      <w:r>
        <w:t>ciudadanos, servidores públicos y demás órganos de control con celeridad, eficacia, debido</w:t>
      </w:r>
      <w:r w:rsidR="003D3AB1">
        <w:t xml:space="preserve"> </w:t>
      </w:r>
      <w:r>
        <w:t>proceso y responsabilidad.</w:t>
      </w:r>
    </w:p>
    <w:p w14:paraId="12F6F557" w14:textId="14B22C82" w:rsidR="00CD31A3" w:rsidRDefault="00CD31A3" w:rsidP="00C7217C">
      <w:pPr>
        <w:spacing w:line="240" w:lineRule="auto"/>
      </w:pPr>
      <w:r>
        <w:t>20. Contribuir en la implementación, mantenimiento y mejoramiento continuo del Sistema</w:t>
      </w:r>
      <w:r w:rsidR="003D3AB1">
        <w:t xml:space="preserve"> </w:t>
      </w:r>
      <w:r>
        <w:t>Integrado de Gestión y autocontrol SIGA.</w:t>
      </w:r>
    </w:p>
    <w:p w14:paraId="42387A71" w14:textId="77777777" w:rsidR="00AC466F" w:rsidRDefault="00AC466F">
      <w:pPr>
        <w:spacing w:line="240" w:lineRule="auto"/>
      </w:pPr>
    </w:p>
    <w:p w14:paraId="5917A8A3" w14:textId="77777777" w:rsidR="003D3AB1" w:rsidRDefault="003D3AB1">
      <w:pPr>
        <w:spacing w:line="240" w:lineRule="auto"/>
        <w:rPr>
          <w:color w:val="000000"/>
          <w:sz w:val="20"/>
          <w:szCs w:val="20"/>
        </w:rPr>
      </w:pPr>
    </w:p>
    <w:p w14:paraId="42387A72" w14:textId="15D2F542" w:rsidR="00AC466F" w:rsidRDefault="00577BA0">
      <w:pPr>
        <w:spacing w:line="240" w:lineRule="auto"/>
        <w:rPr>
          <w:color w:val="000000"/>
          <w:sz w:val="20"/>
          <w:szCs w:val="20"/>
        </w:rPr>
      </w:pPr>
      <w:r>
        <w:rPr>
          <w:color w:val="000000"/>
          <w:sz w:val="20"/>
          <w:szCs w:val="20"/>
        </w:rPr>
        <w:t>Proyectó: Licelly Atehortua, Apoyo Contratación</w:t>
      </w:r>
      <w:r>
        <w:rPr>
          <w:sz w:val="14"/>
          <w:szCs w:val="14"/>
          <w:highlight w:val="white"/>
        </w:rPr>
        <w:t xml:space="preserve"> </w:t>
      </w:r>
      <w:r>
        <w:rPr>
          <w:noProof/>
        </w:rPr>
        <w:drawing>
          <wp:inline distT="0" distB="0" distL="0" distR="0" wp14:anchorId="42387A75" wp14:editId="42387A76">
            <wp:extent cx="396436" cy="223941"/>
            <wp:effectExtent l="0" t="0" r="0" b="0"/>
            <wp:docPr id="3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8"/>
                    <a:srcRect/>
                    <a:stretch>
                      <a:fillRect/>
                    </a:stretch>
                  </pic:blipFill>
                  <pic:spPr>
                    <a:xfrm>
                      <a:off x="0" y="0"/>
                      <a:ext cx="396436" cy="223941"/>
                    </a:xfrm>
                    <a:prstGeom prst="rect">
                      <a:avLst/>
                    </a:prstGeom>
                    <a:ln/>
                  </pic:spPr>
                </pic:pic>
              </a:graphicData>
            </a:graphic>
          </wp:inline>
        </w:drawing>
      </w:r>
    </w:p>
    <w:p w14:paraId="42387A73" w14:textId="77777777" w:rsidR="00AC466F" w:rsidRDefault="00AC466F">
      <w:pPr>
        <w:spacing w:line="240" w:lineRule="auto"/>
        <w:rPr>
          <w:sz w:val="20"/>
          <w:szCs w:val="20"/>
        </w:rPr>
      </w:pPr>
    </w:p>
    <w:p w14:paraId="42DE3C56" w14:textId="77777777" w:rsidR="003D3AB1" w:rsidRDefault="003D3AB1">
      <w:pPr>
        <w:spacing w:line="240" w:lineRule="auto"/>
        <w:rPr>
          <w:color w:val="000000"/>
          <w:sz w:val="20"/>
          <w:szCs w:val="20"/>
        </w:rPr>
      </w:pPr>
    </w:p>
    <w:p w14:paraId="42387A74" w14:textId="7BAD4FE0" w:rsidR="00AC466F" w:rsidRDefault="00577BA0">
      <w:pPr>
        <w:spacing w:line="240" w:lineRule="auto"/>
        <w:rPr>
          <w:color w:val="000000"/>
          <w:sz w:val="20"/>
          <w:szCs w:val="20"/>
        </w:rPr>
      </w:pPr>
      <w:r>
        <w:rPr>
          <w:color w:val="000000"/>
          <w:sz w:val="20"/>
          <w:szCs w:val="20"/>
        </w:rPr>
        <w:t xml:space="preserve">Revisó: Luz Dianey Machado </w:t>
      </w:r>
    </w:p>
    <w:sectPr w:rsidR="00AC466F">
      <w:headerReference w:type="default" r:id="rId9"/>
      <w:footerReference w:type="default" r:id="rId10"/>
      <w:pgSz w:w="12240" w:h="18720"/>
      <w:pgMar w:top="2078" w:right="907" w:bottom="1701" w:left="964" w:header="709" w:footer="13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7A7D" w14:textId="77777777" w:rsidR="00507E21" w:rsidRDefault="00577BA0">
      <w:pPr>
        <w:spacing w:line="240" w:lineRule="auto"/>
      </w:pPr>
      <w:r>
        <w:separator/>
      </w:r>
    </w:p>
  </w:endnote>
  <w:endnote w:type="continuationSeparator" w:id="0">
    <w:p w14:paraId="42387A7F" w14:textId="77777777" w:rsidR="00507E21" w:rsidRDefault="00577B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7A78" w14:textId="62B2A317" w:rsidR="00AC466F" w:rsidRDefault="00577BA0">
    <w:pPr>
      <w:pBdr>
        <w:top w:val="nil"/>
        <w:left w:val="nil"/>
        <w:bottom w:val="nil"/>
        <w:right w:val="nil"/>
        <w:between w:val="nil"/>
      </w:pBdr>
      <w:tabs>
        <w:tab w:val="center" w:pos="4252"/>
        <w:tab w:val="right" w:pos="8504"/>
      </w:tabs>
      <w:spacing w:line="240" w:lineRule="auto"/>
      <w:jc w:val="center"/>
      <w:rPr>
        <w:color w:val="000000"/>
        <w:sz w:val="18"/>
        <w:szCs w:val="18"/>
      </w:rPr>
    </w:pPr>
    <w:r>
      <w:rPr>
        <w:color w:val="000000"/>
        <w:sz w:val="18"/>
        <w:szCs w:val="18"/>
      </w:rPr>
      <w:t xml:space="preserve">Página </w:t>
    </w:r>
    <w:r>
      <w:rPr>
        <w:b/>
        <w:color w:val="000000"/>
        <w:sz w:val="18"/>
        <w:szCs w:val="18"/>
      </w:rPr>
      <w:fldChar w:fldCharType="begin"/>
    </w:r>
    <w:r>
      <w:rPr>
        <w:b/>
        <w:color w:val="000000"/>
        <w:sz w:val="18"/>
        <w:szCs w:val="18"/>
      </w:rPr>
      <w:instrText>PAGE</w:instrText>
    </w:r>
    <w:r>
      <w:rPr>
        <w:b/>
        <w:color w:val="000000"/>
        <w:sz w:val="18"/>
        <w:szCs w:val="18"/>
      </w:rPr>
      <w:fldChar w:fldCharType="separate"/>
    </w:r>
    <w:r w:rsidR="0091084E">
      <w:rPr>
        <w:b/>
        <w:noProof/>
        <w:color w:val="000000"/>
        <w:sz w:val="18"/>
        <w:szCs w:val="18"/>
      </w:rPr>
      <w:t>1</w:t>
    </w:r>
    <w:r>
      <w:rPr>
        <w:b/>
        <w:color w:val="000000"/>
        <w:sz w:val="18"/>
        <w:szCs w:val="18"/>
      </w:rPr>
      <w:fldChar w:fldCharType="end"/>
    </w:r>
    <w:r>
      <w:rPr>
        <w:color w:val="000000"/>
        <w:sz w:val="18"/>
        <w:szCs w:val="18"/>
      </w:rPr>
      <w:t xml:space="preserve"> de </w:t>
    </w:r>
    <w:r>
      <w:rPr>
        <w:b/>
        <w:color w:val="000000"/>
        <w:sz w:val="18"/>
        <w:szCs w:val="18"/>
      </w:rPr>
      <w:fldChar w:fldCharType="begin"/>
    </w:r>
    <w:r>
      <w:rPr>
        <w:b/>
        <w:color w:val="000000"/>
        <w:sz w:val="18"/>
        <w:szCs w:val="18"/>
      </w:rPr>
      <w:instrText>NUMPAGES</w:instrText>
    </w:r>
    <w:r>
      <w:rPr>
        <w:b/>
        <w:color w:val="000000"/>
        <w:sz w:val="18"/>
        <w:szCs w:val="18"/>
      </w:rPr>
      <w:fldChar w:fldCharType="separate"/>
    </w:r>
    <w:r w:rsidR="0091084E">
      <w:rPr>
        <w:b/>
        <w:noProof/>
        <w:color w:val="000000"/>
        <w:sz w:val="18"/>
        <w:szCs w:val="18"/>
      </w:rPr>
      <w:t>2</w:t>
    </w:r>
    <w:r>
      <w:rPr>
        <w:b/>
        <w:color w:val="000000"/>
        <w:sz w:val="18"/>
        <w:szCs w:val="18"/>
      </w:rPr>
      <w:fldChar w:fldCharType="end"/>
    </w:r>
    <w:r>
      <w:rPr>
        <w:color w:val="000000"/>
        <w:sz w:val="18"/>
        <w:szCs w:val="18"/>
      </w:rPr>
      <w:t xml:space="preserve">                                                                                                                                                             GTH-F-077 V.13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7A79" w14:textId="77777777" w:rsidR="00507E21" w:rsidRDefault="00577BA0">
      <w:pPr>
        <w:spacing w:line="240" w:lineRule="auto"/>
      </w:pPr>
      <w:r>
        <w:separator/>
      </w:r>
    </w:p>
  </w:footnote>
  <w:footnote w:type="continuationSeparator" w:id="0">
    <w:p w14:paraId="42387A7B" w14:textId="77777777" w:rsidR="00507E21" w:rsidRDefault="00577B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7A77" w14:textId="77777777" w:rsidR="00AC466F" w:rsidRDefault="00577BA0">
    <w:r>
      <w:rPr>
        <w:noProof/>
      </w:rPr>
      <mc:AlternateContent>
        <mc:Choice Requires="wps">
          <w:drawing>
            <wp:anchor distT="0" distB="0" distL="114300" distR="114300" simplePos="0" relativeHeight="251658240" behindDoc="0" locked="0" layoutInCell="1" hidden="0" allowOverlap="1" wp14:anchorId="42387A79" wp14:editId="752EB283">
              <wp:simplePos x="0" y="0"/>
              <wp:positionH relativeFrom="column">
                <wp:posOffset>-230175</wp:posOffset>
              </wp:positionH>
              <wp:positionV relativeFrom="paragraph">
                <wp:posOffset>-224509</wp:posOffset>
              </wp:positionV>
              <wp:extent cx="1028700" cy="827502"/>
              <wp:effectExtent l="0" t="0" r="0" b="0"/>
              <wp:wrapNone/>
              <wp:docPr id="30"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827502"/>
                      </a:xfrm>
                      <a:prstGeom prst="rect">
                        <a:avLst/>
                      </a:prstGeom>
                      <a:solidFill>
                        <a:srgbClr val="FFFFFF"/>
                      </a:solidFill>
                      <a:ln>
                        <a:noFill/>
                      </a:ln>
                    </wps:spPr>
                    <wps:txbx>
                      <w:txbxContent>
                        <w:p w14:paraId="42387A7D" w14:textId="4E8A4BFB" w:rsidR="00904F27" w:rsidRDefault="00947669" w:rsidP="002B04F4">
                          <w:pPr>
                            <w:pStyle w:val="Piedepgina"/>
                          </w:pPr>
                          <w:r>
                            <w:rPr>
                              <w:noProof/>
                              <w:lang w:val="es-CO" w:eastAsia="es-CO"/>
                            </w:rPr>
                            <w:drawing>
                              <wp:inline distT="0" distB="0" distL="0" distR="0" wp14:anchorId="2A91BDBE" wp14:editId="3428E888">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r w:rsidR="00577BA0" w:rsidRPr="00E71708">
                            <w:br/>
                          </w:r>
                        </w:p>
                        <w:p w14:paraId="42387A7E" w14:textId="77777777" w:rsidR="00904F27" w:rsidRPr="00E71708" w:rsidRDefault="001F603F" w:rsidP="002B04F4">
                          <w:pPr>
                            <w:pStyle w:val="Piedepgina"/>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42387A79" id="_x0000_t202" coordsize="21600,21600" o:spt="202" path="m,l,21600r21600,l21600,xe">
              <v:stroke joinstyle="miter"/>
              <v:path gradientshapeok="t" o:connecttype="rect"/>
            </v:shapetype>
            <v:shape id="_x0000_s1026" type="#_x0000_t202" style="position:absolute;left:0;text-align:left;margin-left:-18.1pt;margin-top:-17.7pt;width:81pt;height:65.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" stroked="f">
              <v:textbox>
                <w:txbxContent>
                  <w:p w14:paraId="42387A7D" w14:textId="4E8A4BFB" w:rsidR="00904F27" w:rsidRDefault="00947669" w:rsidP="002B04F4">
                    <w:pPr>
                      <w:pStyle w:val="Piedepgina"/>
                    </w:pPr>
                    <w:r>
                      <w:rPr>
                        <w:noProof/>
                        <w:lang w:val="es-CO" w:eastAsia="es-CO"/>
                      </w:rPr>
                      <w:drawing>
                        <wp:inline distT="0" distB="0" distL="0" distR="0" wp14:anchorId="2A91BDBE" wp14:editId="3428E888">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r w:rsidR="00577BA0" w:rsidRPr="00E71708">
                      <w:br/>
                    </w:r>
                  </w:p>
                  <w:p w14:paraId="42387A7E" w14:textId="77777777" w:rsidR="00904F27" w:rsidRPr="00E71708" w:rsidRDefault="001F603F" w:rsidP="002B04F4">
                    <w:pPr>
                      <w:pStyle w:val="Piedepgina"/>
                    </w:pPr>
                  </w:p>
                </w:txbxContent>
              </v:textbox>
            </v:shape>
          </w:pict>
        </mc:Fallback>
      </mc:AlternateContent>
    </w:r>
    <w:r>
      <w:rPr>
        <w:noProof/>
      </w:rPr>
      <mc:AlternateContent>
        <mc:Choice Requires="wps">
          <w:drawing>
            <wp:anchor distT="0" distB="0" distL="114300" distR="114300" simplePos="0" relativeHeight="251659264" behindDoc="0" locked="0" layoutInCell="1" hidden="0" allowOverlap="1" wp14:anchorId="42387A7B" wp14:editId="42387A7C">
              <wp:simplePos x="0" y="0"/>
              <wp:positionH relativeFrom="column">
                <wp:posOffset>800100</wp:posOffset>
              </wp:positionH>
              <wp:positionV relativeFrom="paragraph">
                <wp:posOffset>393700</wp:posOffset>
              </wp:positionV>
              <wp:extent cx="5697943" cy="368403"/>
              <wp:effectExtent l="0" t="0" r="0" b="0"/>
              <wp:wrapNone/>
              <wp:docPr id="31" name=""/>
              <wp:cNvGraphicFramePr/>
              <a:graphic xmlns:a="http://schemas.openxmlformats.org/drawingml/2006/main">
                <a:graphicData uri="http://schemas.microsoft.com/office/word/2010/wordprocessingShape">
                  <wps:wsp>
                    <wps:cNvSpPr/>
                    <wps:spPr>
                      <a:xfrm>
                        <a:off x="2501791" y="3600561"/>
                        <a:ext cx="5688418" cy="358878"/>
                      </a:xfrm>
                      <a:prstGeom prst="rect">
                        <a:avLst/>
                      </a:prstGeom>
                      <a:solidFill>
                        <a:srgbClr val="FFFFFF"/>
                      </a:solidFill>
                      <a:ln>
                        <a:noFill/>
                      </a:ln>
                    </wps:spPr>
                    <wps:txbx>
                      <w:txbxContent>
                        <w:p w14:paraId="42387A7F" w14:textId="77777777" w:rsidR="00AC466F" w:rsidRDefault="00577BA0">
                          <w:pPr>
                            <w:jc w:val="center"/>
                            <w:textDirection w:val="btLr"/>
                          </w:pPr>
                          <w:r>
                            <w:rPr>
                              <w:color w:val="A6A6A6"/>
                            </w:rPr>
                            <w:t>ANEXO DEL CONTRATO</w:t>
                          </w:r>
                        </w:p>
                      </w:txbxContent>
                    </wps:txbx>
                    <wps:bodyPr spcFirstLastPara="1" wrap="square" lIns="91425" tIns="45700" rIns="91425" bIns="45700" anchor="t" anchorCtr="0">
                      <a:noAutofit/>
                    </wps:bodyPr>
                  </wps:wsp>
                </a:graphicData>
              </a:graphic>
            </wp:anchor>
          </w:drawing>
        </mc:Choice>
        <mc:Fallback>
          <w:pict>
            <v:rect w14:anchorId="42387A7B" id="_x0000_s1027" style="position:absolute;left:0;text-align:left;margin-left:63pt;margin-top:31pt;width:448.65pt;height:2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" stroked="f">
              <v:textbox inset="2.53958mm,1.2694mm,2.53958mm,1.2694mm">
                <w:txbxContent>
                  <w:p w14:paraId="42387A7F" w14:textId="77777777" w:rsidR="00AC466F" w:rsidRDefault="00577BA0">
                    <w:pPr>
                      <w:jc w:val="center"/>
                      <w:textDirection w:val="btLr"/>
                    </w:pPr>
                    <w:r>
                      <w:rPr>
                        <w:color w:val="A6A6A6"/>
                      </w:rPr>
                      <w:t>ANEXO DEL CONTRATO</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B27E2"/>
    <w:multiLevelType w:val="multilevel"/>
    <w:tmpl w:val="734CA84C"/>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6F"/>
    <w:rsid w:val="001F3607"/>
    <w:rsid w:val="001F603F"/>
    <w:rsid w:val="003938A5"/>
    <w:rsid w:val="003D3AB1"/>
    <w:rsid w:val="00507E21"/>
    <w:rsid w:val="00535A1A"/>
    <w:rsid w:val="00543C1E"/>
    <w:rsid w:val="00577BA0"/>
    <w:rsid w:val="006426B5"/>
    <w:rsid w:val="00684C4C"/>
    <w:rsid w:val="0078389F"/>
    <w:rsid w:val="00810677"/>
    <w:rsid w:val="00854F81"/>
    <w:rsid w:val="0091084E"/>
    <w:rsid w:val="00947669"/>
    <w:rsid w:val="009B4E92"/>
    <w:rsid w:val="00A53EB7"/>
    <w:rsid w:val="00A83465"/>
    <w:rsid w:val="00AC466F"/>
    <w:rsid w:val="00AE60E5"/>
    <w:rsid w:val="00B00203"/>
    <w:rsid w:val="00B9281E"/>
    <w:rsid w:val="00BF5F78"/>
    <w:rsid w:val="00C7217C"/>
    <w:rsid w:val="00CD31A3"/>
    <w:rsid w:val="00ED0DAE"/>
    <w:rsid w:val="00EF46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87A5E"/>
  <w15:docId w15:val="{4EBE65AC-1247-402F-9FAF-3B82A298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s-ES" w:eastAsia="es-E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1B8"/>
  </w:style>
  <w:style w:type="paragraph" w:styleId="Ttulo1">
    <w:name w:val="heading 1"/>
    <w:basedOn w:val="Normal"/>
    <w:next w:val="Normal"/>
    <w:uiPriority w:val="9"/>
    <w:qFormat/>
    <w:rsid w:val="00F751B8"/>
    <w:pPr>
      <w:keepNext/>
      <w:spacing w:line="240" w:lineRule="auto"/>
      <w:jc w:val="center"/>
      <w:outlineLvl w:val="0"/>
    </w:pPr>
    <w:rPr>
      <w:b/>
      <w:bCs/>
      <w:kern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style>
  <w:style w:type="character" w:customStyle="1" w:styleId="apple-converted-space">
    <w:name w:val="apple-converted-space"/>
    <w:basedOn w:val="Fuentedeprrafopredeter"/>
    <w:rsid w:val="00BE6E7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Km/BvK4LB7941cQnBcU3AjSfvg==">AMUW2mVptPFFReqJYis2vUMS4q+y5uuBkkHH7kkV88cHNdpxc0xLTSulJwczV6Mu+KBSjxqXdpFB+v2DdYesAU6GONlfQqxsL55NFwqUFEMaUaDp3bcBnRk=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4985</Words>
  <Characters>27422</Characters>
  <Application>Microsoft Office Word</Application>
  <DocSecurity>0</DocSecurity>
  <Lines>228</Lines>
  <Paragraphs>64</Paragraphs>
  <ScaleCrop>false</ScaleCrop>
  <Company/>
  <LinksUpToDate>false</LinksUpToDate>
  <CharactersWithSpaces>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rmartinezp</dc:creator>
  <cp:lastModifiedBy>Luz Dianey Machado Marin</cp:lastModifiedBy>
  <cp:revision>3</cp:revision>
  <dcterms:created xsi:type="dcterms:W3CDTF">2022-01-19T22:38:00Z</dcterms:created>
  <dcterms:modified xsi:type="dcterms:W3CDTF">2022-01-19T22:38:00Z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